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51.75pt;height:62.7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Красная Поляна</w:t>
      </w:r>
    </w:p>
    <w:p>
      <w:pPr>
        <w:pStyle w:val="style32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Муниципального района</w:t>
      </w:r>
    </w:p>
    <w:p>
      <w:pPr>
        <w:pStyle w:val="style32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cs="Book Antiqua" w:eastAsia="Book Antiqua" w:hAnsi="Book Antiqua"/>
          <w:b/>
          <w:sz w:val="28"/>
        </w:rPr>
        <w:t xml:space="preserve">           </w:t>
      </w:r>
      <w:r>
        <w:rPr>
          <w:rFonts w:ascii="Book Antiqua" w:cs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 Советская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34145</w:t>
      </w:r>
    </w:p>
    <w:p>
      <w:pPr>
        <w:pStyle w:val="style0"/>
        <w:ind w:firstLine="720" w:left="720" w:right="5386"/>
      </w:pPr>
      <w:r>
        <w:rPr/>
      </w:r>
    </w:p>
    <w:p>
      <w:pPr>
        <w:pStyle w:val="style2"/>
        <w:numPr>
          <w:ilvl w:val="1"/>
          <w:numId w:val="1"/>
        </w:numPr>
        <w:ind w:hanging="0" w:left="0" w:right="5244"/>
        <w:jc w:val="left"/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>
      <w:pPr>
        <w:pStyle w:val="style0"/>
        <w:ind w:hanging="0" w:left="0" w:right="5386"/>
      </w:pPr>
      <w:r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от _24</w:t>
      </w:r>
      <w:r>
        <w:rPr>
          <w:b/>
          <w:bCs/>
          <w:sz w:val="28"/>
          <w:szCs w:val="28"/>
          <w:u w:val="single"/>
          <w:lang w:val="ru-RU"/>
        </w:rPr>
        <w:t>.10.2018г</w:t>
      </w:r>
      <w:r>
        <w:rPr>
          <w:sz w:val="28"/>
          <w:szCs w:val="28"/>
          <w:lang w:val="ru-RU"/>
        </w:rPr>
        <w:t xml:space="preserve">_ № </w:t>
      </w:r>
      <w:r>
        <w:rPr>
          <w:b/>
          <w:bCs/>
          <w:sz w:val="28"/>
          <w:szCs w:val="28"/>
          <w:u w:val="single"/>
          <w:lang w:val="ru-RU"/>
        </w:rPr>
        <w:t>32</w:t>
      </w:r>
    </w:p>
    <w:p>
      <w:pPr>
        <w:pStyle w:val="style0"/>
        <w:ind w:hanging="0" w:left="0" w:right="5386"/>
      </w:pPr>
      <w:r>
        <w:rPr>
          <w:sz w:val="28"/>
          <w:szCs w:val="28"/>
          <w:lang w:val="ru-RU"/>
        </w:rPr>
      </w:r>
    </w:p>
    <w:tbl>
      <w:tblPr>
        <w:jc w:val="left"/>
        <w:tblInd w:type="dxa" w:w="351"/>
        <w:tblBorders/>
      </w:tblPr>
      <w:tblGrid>
        <w:gridCol w:w="5886"/>
      </w:tblGrid>
      <w:tr>
        <w:trPr>
          <w:trHeight w:hRule="atLeast" w:val="607"/>
          <w:cantSplit w:val="false"/>
        </w:trPr>
        <w:tc>
          <w:tcPr>
            <w:tcW w:type="dxa" w:w="58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120" w:before="0" w:line="100" w:lineRule="atLeast"/>
              <w:jc w:val="both"/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от 27.12.2017 года № 44 «</w:t>
            </w:r>
            <w:r>
              <w:rPr>
                <w:sz w:val="28"/>
                <w:szCs w:val="28"/>
              </w:rPr>
              <w:t xml:space="preserve">О мерах по противодействию коррупции в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</w:rPr>
              <w:t xml:space="preserve"> поселении </w:t>
            </w:r>
            <w:r>
              <w:rPr>
                <w:sz w:val="28"/>
                <w:szCs w:val="28"/>
                <w:lang w:val="ru-RU"/>
              </w:rPr>
              <w:t>Красная Поляна Пестравского района Самарской области».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  <w:lang w:val="ru-RU"/>
        </w:rPr>
        <w:t>действующим законодательством Российской Федерации в области противодействия коррупции,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руководствуясь</w:t>
      </w:r>
      <w:r>
        <w:rPr>
          <w:sz w:val="28"/>
        </w:rPr>
        <w:t xml:space="preserve"> Федеральным Законом «Об общих принципах организации местного самоуправления в Российской Федерации» от 06.10.</w:t>
      </w:r>
      <w:r>
        <w:rPr>
          <w:sz w:val="28"/>
          <w:lang w:val="ru-RU"/>
        </w:rPr>
        <w:t>20</w:t>
      </w:r>
      <w:r>
        <w:rPr>
          <w:sz w:val="28"/>
        </w:rPr>
        <w:t>03г №</w:t>
      </w:r>
      <w:r>
        <w:rPr>
          <w:sz w:val="28"/>
          <w:lang w:val="ru-RU"/>
        </w:rPr>
        <w:t xml:space="preserve"> </w:t>
      </w:r>
      <w:r>
        <w:rPr>
          <w:sz w:val="28"/>
        </w:rPr>
        <w:t>131 – ФЗ</w:t>
      </w:r>
      <w:r>
        <w:rPr>
          <w:sz w:val="28"/>
          <w:lang w:val="ru-RU"/>
        </w:rPr>
        <w:t>,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исполняя Указ Президента РФ от 29.06.2018г № 378 «О Национальном плане противодействия коррупции на 2018-2020 годы», ПОСТАНОВЛЯЮ:</w:t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  <w:szCs w:val="28"/>
          <w:lang w:val="ru-RU"/>
        </w:rPr>
        <w:t>Внести изменения в Постановление Главы администрации сельского поселения Красная Поляна от 27.12.2017 года № 44 «</w:t>
      </w:r>
      <w:r>
        <w:rPr>
          <w:sz w:val="28"/>
          <w:szCs w:val="28"/>
        </w:rPr>
        <w:t xml:space="preserve">О мерах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  <w:lang w:val="ru-RU"/>
        </w:rPr>
        <w:t xml:space="preserve">Красная Поляна муниципального района Пестравский Самарской области», в Приложение 4 «План </w:t>
      </w:r>
      <w:r>
        <w:rPr>
          <w:b w:val="false"/>
          <w:bCs w:val="false"/>
          <w:sz w:val="28"/>
          <w:szCs w:val="28"/>
          <w:lang w:val="ru-RU"/>
        </w:rPr>
        <w:t>мероприятий по противодействию коррупции в администрации сельского поселения Красная Поляна на 2018 год», изложив его в следующей редакции: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План</w:t>
      </w:r>
    </w:p>
    <w:p>
      <w:pPr>
        <w:pStyle w:val="style0"/>
        <w:jc w:val="center"/>
      </w:pPr>
      <w:r>
        <w:rPr>
          <w:sz w:val="28"/>
          <w:szCs w:val="28"/>
        </w:rPr>
        <w:t xml:space="preserve">мероприятий по противодействию коррупции в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  <w:lang w:val="ru-RU"/>
        </w:rPr>
        <w:t>Красная Поляна</w:t>
      </w:r>
    </w:p>
    <w:tbl>
      <w:tblPr>
        <w:jc w:val="left"/>
        <w:tblBorders>
          <w:top w:color="808080" w:space="0" w:sz="4" w:val="single"/>
          <w:left w:color="808080" w:space="0" w:sz="4" w:val="single"/>
          <w:bottom w:color="808080" w:space="0" w:sz="2" w:val="single"/>
        </w:tblBorders>
      </w:tblPr>
      <w:tblGrid>
        <w:gridCol w:w="419"/>
        <w:gridCol w:w="5010"/>
        <w:gridCol w:w="1275"/>
        <w:gridCol w:w="2972"/>
      </w:tblGrid>
      <w:tr>
        <w:trPr>
          <w:cantSplit w:val="false"/>
        </w:trPr>
        <w:tc>
          <w:tcPr>
            <w:tcW w:type="dxa" w:w="419"/>
            <w:tcBorders>
              <w:top w:color="808080" w:space="0" w:sz="4" w:val="single"/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type="dxa" w:w="5010"/>
            <w:tcBorders>
              <w:top w:color="808080" w:space="0" w:sz="4" w:val="single"/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type="dxa" w:w="1275"/>
            <w:tcBorders>
              <w:top w:color="808080" w:space="0" w:sz="4" w:val="single"/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type="dxa" w:w="2972"/>
            <w:tcBorders>
              <w:top w:color="808080" w:space="0" w:sz="4" w:val="single"/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исполнение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I.Осуществление организационных мер по противодействию коррупции в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Предоставление информации населению о перечне муниципальных услуг, предоставляемых </w:t>
            </w:r>
            <w:r>
              <w:rPr>
                <w:sz w:val="22"/>
                <w:szCs w:val="22"/>
                <w:lang w:val="ru-RU"/>
              </w:rPr>
              <w:t>администрацией с/п Красная Поляна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</w:t>
            </w:r>
            <w:r>
              <w:rPr>
                <w:sz w:val="22"/>
                <w:szCs w:val="22"/>
                <w:lang w:val="ru-RU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  <w:lang w:val="ru-RU"/>
              </w:rPr>
              <w:t>Красная Поляна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1.4.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Своевременное обновление и наполнение страницы поселения, расположенной на сайте 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>дминистрации 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  <w:lang w:val="ru-RU"/>
              </w:rPr>
              <w:t>месячно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Обеспечение эффективного контроля за соблюдением муниципальными служащими 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 xml:space="preserve">администрации с/п Красная Поляна </w:t>
            </w:r>
            <w:r>
              <w:rPr>
                <w:sz w:val="22"/>
                <w:szCs w:val="22"/>
              </w:rPr>
              <w:t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Ежегодно д</w:t>
            </w:r>
            <w:r>
              <w:rPr>
                <w:sz w:val="22"/>
                <w:szCs w:val="22"/>
              </w:rPr>
              <w:t>о 01.0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1.8.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Обеспечение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 xml:space="preserve">Постоянно 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</w:t>
            </w:r>
            <w:r>
              <w:rPr>
                <w:sz w:val="22"/>
                <w:szCs w:val="22"/>
                <w:lang w:val="ru-RU"/>
              </w:rPr>
              <w:t>им</w:t>
            </w:r>
            <w:r>
              <w:rPr>
                <w:sz w:val="22"/>
                <w:szCs w:val="22"/>
              </w:rPr>
              <w:t xml:space="preserve"> в поселении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  <w:lang w:val="ru-RU"/>
              </w:rPr>
              <w:t>с/п Красная Поляна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II.Нормативное правовое обеспечение антикоррупционной деятельности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актов, принимаемых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администрацией с/п Красная Поляна</w:t>
            </w:r>
            <w:r>
              <w:rPr>
                <w:sz w:val="22"/>
                <w:szCs w:val="22"/>
              </w:rPr>
              <w:t>, представительным органом поселения и их проектов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ответственные за разработку проектов административных регламентов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III.  Практические меры по предотвращению коррупции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администрацией с/п Красная Поляна</w:t>
            </w:r>
            <w:r>
              <w:rPr>
                <w:sz w:val="22"/>
                <w:szCs w:val="22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Работа «телефона доверия», для приема сообщений о фактах коррупции и коррупционных проявлениях в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, обобщение и анализ информации о проявлении фактов коррупции, поступающей по «телефону доверия» 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Специалист Администрации поселения,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Бухгалтер администрации с/п Красная Поляна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Обеспечение выполнения требований, установленных Федеральным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ами в сфере закупок на муниципальные нужды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Контрактный управляющий администрации с/п Красная Поляна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IV. Антикоррупционная пропаганда и обучение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Выявление знаний муниципальных служащих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по обзорам изменений законодательства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4.4.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с/п, по образовательным программам в области противодействия коррупции, в течении года с момента поступления на муниципальную службу.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</w:tbl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2. Приложение 1 «</w:t>
      </w:r>
      <w:r>
        <w:rPr>
          <w:sz w:val="28"/>
          <w:szCs w:val="28"/>
        </w:rPr>
        <w:t xml:space="preserve">Положение о противодействии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области; Приложение 2 «</w:t>
      </w:r>
      <w:r>
        <w:rPr>
          <w:sz w:val="28"/>
          <w:szCs w:val="28"/>
        </w:rPr>
        <w:t xml:space="preserve">Положение о Комиссии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области»; Приложение 3 «</w:t>
      </w:r>
      <w:r>
        <w:rPr>
          <w:sz w:val="28"/>
          <w:szCs w:val="28"/>
        </w:rPr>
        <w:t>Комисси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области», оставить без изменения.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  <w:lang w:val="ru-RU"/>
        </w:rPr>
        <w:t>постановление в бюллетене «Официальный вестник сельского поселения Красная Поляна» и разместить сайте администрации сельского поселения Красная Поляна в сети «Интернет».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4. Данное Постановление вступает в законную силу с момента подписания.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5. Контроль за исполнением настоящего постановления оставляю за собой.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Глава сельского поселения 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Красная Поляна                                                                             В.Н.Глазков.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458" w:footer="0" w:gutter="0" w:header="0" w:left="1134" w:right="1134" w:top="993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6" w:val="left"/>
      </w:tabs>
      <w:suppressAutoHyphens w:val="true"/>
    </w:pPr>
    <w:rPr>
      <w:rFonts w:ascii="Times New Roman" w:cs="Times New Roman" w:eastAsia="Andale Sans UI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32"/>
    <w:pPr>
      <w:keepNext/>
      <w:numPr>
        <w:ilvl w:val="1"/>
        <w:numId w:val="1"/>
      </w:numPr>
      <w:ind w:hanging="0" w:left="0" w:right="5244"/>
      <w:jc w:val="center"/>
      <w:outlineLvl w:val="1"/>
    </w:pPr>
    <w:rPr>
      <w:rFonts w:ascii="Palatino Linotype" w:cs="Palatino Linotype" w:hAnsi="Palatino Linotype"/>
      <w:b/>
      <w:caps/>
      <w:sz w:val="44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Интернет-ссылка"/>
    <w:next w:val="style27"/>
    <w:rPr>
      <w:color w:val="000080"/>
      <w:u w:val="single"/>
      <w:lang w:bidi="ru-RU" w:eastAsia="ru-RU" w:val="ru-RU"/>
    </w:rPr>
  </w:style>
  <w:style w:styleId="style28" w:type="character">
    <w:name w:val="Выделение жирным"/>
    <w:next w:val="style28"/>
    <w:rPr>
      <w:b/>
      <w:bCs/>
    </w:rPr>
  </w:style>
  <w:style w:styleId="style29" w:type="character">
    <w:name w:val="Текст выноски Знак"/>
    <w:basedOn w:val="style15"/>
    <w:next w:val="style29"/>
    <w:rPr>
      <w:rFonts w:ascii="Segoe UI" w:cs="Segoe UI" w:eastAsia="Andale Sans UI" w:hAnsi="Segoe UI"/>
      <w:sz w:val="18"/>
      <w:szCs w:val="18"/>
    </w:rPr>
  </w:style>
  <w:style w:styleId="style30" w:type="character">
    <w:name w:val="Символ нумерации"/>
    <w:next w:val="style30"/>
    <w:rPr/>
  </w:style>
  <w:style w:styleId="style31" w:type="paragraph">
    <w:name w:val="Заголовок"/>
    <w:basedOn w:val="style0"/>
    <w:next w:val="style3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</w:pPr>
    <w:rPr/>
  </w:style>
  <w:style w:styleId="style33" w:type="paragraph">
    <w:name w:val="Список"/>
    <w:basedOn w:val="style32"/>
    <w:next w:val="style33"/>
    <w:pPr/>
    <w:rPr>
      <w:rFonts w:cs="Tahoma"/>
    </w:rPr>
  </w:style>
  <w:style w:styleId="style34" w:type="paragraph">
    <w:name w:val="Название"/>
    <w:basedOn w:val="style0"/>
    <w:next w:val="style34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Заголовок1"/>
    <w:basedOn w:val="style0"/>
    <w:next w:val="style36"/>
    <w:pPr>
      <w:keepNext/>
      <w:spacing w:after="120" w:before="240"/>
    </w:pPr>
    <w:rPr>
      <w:rFonts w:ascii="Arial" w:cs="Tahoma" w:hAnsi="Arial"/>
      <w:sz w:val="28"/>
      <w:szCs w:val="28"/>
    </w:rPr>
  </w:style>
  <w:style w:styleId="style37" w:type="paragraph">
    <w:name w:val="Указатель1"/>
    <w:basedOn w:val="style0"/>
    <w:next w:val="style37"/>
    <w:pPr>
      <w:suppressLineNumbers/>
    </w:pPr>
    <w:rPr>
      <w:rFonts w:cs="Tahoma"/>
    </w:rPr>
  </w:style>
  <w:style w:styleId="style38" w:type="paragraph">
    <w:name w:val="Содержимое таблицы"/>
    <w:basedOn w:val="style0"/>
    <w:next w:val="style38"/>
    <w:pPr>
      <w:suppressLineNumbers/>
    </w:pPr>
    <w:rPr/>
  </w:style>
  <w:style w:styleId="style39" w:type="paragraph">
    <w:name w:val="Заголовок таблицы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Верхний колонтитул"/>
    <w:basedOn w:val="style0"/>
    <w:next w:val="style40"/>
    <w:pPr>
      <w:suppressLineNumbers/>
      <w:tabs>
        <w:tab w:leader="none" w:pos="4818" w:val="center"/>
        <w:tab w:leader="none" w:pos="9637" w:val="right"/>
      </w:tabs>
    </w:pPr>
    <w:rPr/>
  </w:style>
  <w:style w:styleId="style41" w:type="paragraph">
    <w:name w:val="Balloon Text"/>
    <w:basedOn w:val="style0"/>
    <w:next w:val="style41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2018-10-24T10:25:00.00Z</dcterms:created>
  <dc:creator>Стрельникова Л.В.</dc:creator>
  <cp:lastModifiedBy>Стрельникова Л.В.</cp:lastModifiedBy>
  <cp:lastPrinted>2018-10-24T10:18:00.00Z</cp:lastPrinted>
  <dcterms:modified xsi:type="dcterms:W3CDTF">2018-10-24T10:25:00.00Z</dcterms:modified>
  <cp:revision>2</cp:revision>
</cp:coreProperties>
</file>